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苗言朝</w:t>
      </w:r>
      <w:r>
        <w:rPr>
          <w:rFonts w:hint="eastAsia"/>
          <w:sz w:val="15"/>
          <w:szCs w:val="15"/>
          <w:highlight w:val="none"/>
        </w:rPr>
        <w:t>，</w:t>
      </w:r>
      <w:r>
        <w:rPr>
          <w:rFonts w:hint="eastAsia"/>
          <w:sz w:val="15"/>
          <w:szCs w:val="15"/>
          <w:highlight w:val="none"/>
          <w:lang w:val="en-US" w:eastAsia="zh-CN"/>
        </w:rPr>
        <w:t>132335197408041172</w:t>
      </w:r>
      <w:r>
        <w:rPr>
          <w:rFonts w:hint="eastAsia"/>
          <w:sz w:val="15"/>
          <w:szCs w:val="15"/>
        </w:rPr>
        <w:t xml:space="preserve">  </w:t>
      </w:r>
      <w:r>
        <w:rPr>
          <w:rFonts w:hint="eastAsia"/>
          <w:sz w:val="15"/>
          <w:szCs w:val="15"/>
          <w:lang w:val="en-US" w:eastAsia="zh-CN"/>
        </w:rPr>
        <w:t>冀AR4601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