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王三方</w:t>
      </w:r>
      <w:r>
        <w:rPr>
          <w:rFonts w:hint="eastAsia"/>
          <w:sz w:val="15"/>
          <w:szCs w:val="15"/>
          <w:highlight w:val="none"/>
        </w:rPr>
        <w:t>，</w:t>
      </w:r>
      <w:r>
        <w:rPr>
          <w:rFonts w:hint="eastAsia"/>
          <w:sz w:val="15"/>
          <w:szCs w:val="15"/>
          <w:highlight w:val="none"/>
          <w:lang w:val="en-US" w:eastAsia="zh-CN"/>
        </w:rPr>
        <w:t>132335197404031014</w:t>
      </w:r>
      <w:r>
        <w:rPr>
          <w:rFonts w:hint="eastAsia"/>
          <w:sz w:val="15"/>
          <w:szCs w:val="15"/>
        </w:rPr>
        <w:t xml:space="preserve">  </w:t>
      </w:r>
      <w:r>
        <w:rPr>
          <w:rFonts w:hint="eastAsia"/>
          <w:sz w:val="15"/>
          <w:szCs w:val="15"/>
          <w:lang w:val="en-US" w:eastAsia="zh-CN"/>
        </w:rPr>
        <w:t>冀AVN510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