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郝新平</w:t>
      </w:r>
      <w:r>
        <w:rPr>
          <w:rFonts w:hint="eastAsia"/>
          <w:sz w:val="15"/>
          <w:szCs w:val="15"/>
          <w:highlight w:val="none"/>
        </w:rPr>
        <w:t>，</w:t>
      </w:r>
      <w:r>
        <w:rPr>
          <w:rFonts w:hint="eastAsia"/>
          <w:sz w:val="15"/>
          <w:szCs w:val="15"/>
          <w:highlight w:val="none"/>
          <w:lang w:val="en-US" w:eastAsia="zh-CN"/>
        </w:rPr>
        <w:t>13233519731001271X</w:t>
      </w:r>
      <w:r>
        <w:rPr>
          <w:rFonts w:hint="eastAsia"/>
          <w:sz w:val="15"/>
          <w:szCs w:val="15"/>
        </w:rPr>
        <w:t xml:space="preserve">  </w:t>
      </w:r>
      <w:r>
        <w:rPr>
          <w:rFonts w:hint="eastAsia"/>
          <w:sz w:val="15"/>
          <w:szCs w:val="15"/>
          <w:lang w:val="en-US" w:eastAsia="zh-CN"/>
        </w:rPr>
        <w:t>冀A4913P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