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杨文联</w:t>
      </w:r>
      <w:r>
        <w:rPr>
          <w:rFonts w:hint="eastAsia"/>
          <w:sz w:val="15"/>
          <w:szCs w:val="15"/>
          <w:highlight w:val="none"/>
        </w:rPr>
        <w:t>，</w:t>
      </w:r>
      <w:r>
        <w:rPr>
          <w:rFonts w:hint="eastAsia"/>
          <w:sz w:val="15"/>
          <w:szCs w:val="15"/>
          <w:highlight w:val="none"/>
          <w:lang w:val="en-US" w:eastAsia="zh-CN"/>
        </w:rPr>
        <w:t>132335197307112023</w:t>
      </w:r>
      <w:r>
        <w:rPr>
          <w:rFonts w:hint="eastAsia"/>
          <w:sz w:val="15"/>
          <w:szCs w:val="15"/>
        </w:rPr>
        <w:t xml:space="preserve">  </w:t>
      </w:r>
      <w:r>
        <w:rPr>
          <w:rFonts w:hint="eastAsia"/>
          <w:sz w:val="15"/>
          <w:szCs w:val="15"/>
          <w:lang w:val="en-US" w:eastAsia="zh-CN"/>
        </w:rPr>
        <w:t>冀A3985G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