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王书法</w:t>
      </w:r>
      <w:r>
        <w:rPr>
          <w:rFonts w:hint="eastAsia"/>
          <w:sz w:val="15"/>
          <w:szCs w:val="15"/>
          <w:highlight w:val="none"/>
        </w:rPr>
        <w:t>，</w:t>
      </w:r>
      <w:r>
        <w:rPr>
          <w:rFonts w:hint="eastAsia"/>
          <w:sz w:val="15"/>
          <w:szCs w:val="15"/>
          <w:highlight w:val="none"/>
          <w:lang w:val="en-US" w:eastAsia="zh-CN"/>
        </w:rPr>
        <w:t>132335197209181172</w:t>
      </w:r>
      <w:r>
        <w:rPr>
          <w:rFonts w:hint="eastAsia"/>
          <w:sz w:val="15"/>
          <w:szCs w:val="15"/>
        </w:rPr>
        <w:t xml:space="preserve">  </w:t>
      </w:r>
      <w:r>
        <w:rPr>
          <w:rFonts w:hint="eastAsia"/>
          <w:sz w:val="15"/>
          <w:szCs w:val="15"/>
          <w:lang w:val="en-US" w:eastAsia="zh-CN"/>
        </w:rPr>
        <w:t>冀A3178Z</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