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曹建平</w:t>
      </w:r>
      <w:r>
        <w:rPr>
          <w:rFonts w:hint="eastAsia"/>
          <w:sz w:val="15"/>
          <w:szCs w:val="15"/>
          <w:highlight w:val="none"/>
        </w:rPr>
        <w:t>，</w:t>
      </w:r>
      <w:r>
        <w:rPr>
          <w:rFonts w:hint="eastAsia"/>
          <w:sz w:val="15"/>
          <w:szCs w:val="15"/>
          <w:highlight w:val="none"/>
          <w:lang w:val="en-US" w:eastAsia="zh-CN"/>
        </w:rPr>
        <w:t>132335197205071013</w:t>
      </w:r>
      <w:r>
        <w:rPr>
          <w:rFonts w:hint="eastAsia"/>
          <w:sz w:val="15"/>
          <w:szCs w:val="15"/>
        </w:rPr>
        <w:t xml:space="preserve">  </w:t>
      </w:r>
      <w:r>
        <w:rPr>
          <w:rFonts w:hint="eastAsia"/>
          <w:sz w:val="15"/>
          <w:szCs w:val="15"/>
          <w:lang w:val="en-US" w:eastAsia="zh-CN"/>
        </w:rPr>
        <w:t>冀A61Y78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