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卢文奎</w:t>
      </w:r>
      <w:r>
        <w:rPr>
          <w:rFonts w:hint="eastAsia"/>
          <w:sz w:val="15"/>
          <w:szCs w:val="15"/>
          <w:highlight w:val="none"/>
        </w:rPr>
        <w:t>，</w:t>
      </w:r>
      <w:r>
        <w:rPr>
          <w:rFonts w:hint="eastAsia"/>
          <w:sz w:val="15"/>
          <w:szCs w:val="15"/>
          <w:highlight w:val="none"/>
          <w:lang w:val="en-US" w:eastAsia="zh-CN"/>
        </w:rPr>
        <w:t>132335197107111173</w:t>
      </w:r>
      <w:r>
        <w:rPr>
          <w:rFonts w:hint="eastAsia"/>
          <w:sz w:val="15"/>
          <w:szCs w:val="15"/>
        </w:rPr>
        <w:t xml:space="preserve">  </w:t>
      </w:r>
      <w:r>
        <w:rPr>
          <w:rFonts w:hint="eastAsia"/>
          <w:sz w:val="15"/>
          <w:szCs w:val="15"/>
          <w:lang w:val="en-US" w:eastAsia="zh-CN"/>
        </w:rPr>
        <w:t>冀AC3653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