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赵青荣</w:t>
      </w:r>
      <w:r>
        <w:rPr>
          <w:rFonts w:hint="eastAsia"/>
          <w:sz w:val="15"/>
          <w:szCs w:val="15"/>
          <w:highlight w:val="none"/>
        </w:rPr>
        <w:t>，</w:t>
      </w:r>
      <w:r>
        <w:rPr>
          <w:rFonts w:hint="eastAsia"/>
          <w:sz w:val="15"/>
          <w:szCs w:val="15"/>
          <w:highlight w:val="none"/>
          <w:lang w:val="en-US" w:eastAsia="zh-CN"/>
        </w:rPr>
        <w:t>132335197009202821</w:t>
      </w:r>
      <w:r>
        <w:rPr>
          <w:rFonts w:hint="eastAsia"/>
          <w:sz w:val="15"/>
          <w:szCs w:val="15"/>
        </w:rPr>
        <w:t xml:space="preserve">  </w:t>
      </w:r>
      <w:r>
        <w:rPr>
          <w:rFonts w:hint="eastAsia"/>
          <w:sz w:val="15"/>
          <w:szCs w:val="15"/>
          <w:lang w:val="en-US" w:eastAsia="zh-CN"/>
        </w:rPr>
        <w:t>冀AP2267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