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戎建平</w:t>
      </w:r>
      <w:r>
        <w:rPr>
          <w:rFonts w:hint="eastAsia"/>
          <w:sz w:val="15"/>
          <w:szCs w:val="15"/>
          <w:highlight w:val="none"/>
        </w:rPr>
        <w:t>，</w:t>
      </w:r>
      <w:r>
        <w:rPr>
          <w:rFonts w:hint="eastAsia"/>
          <w:sz w:val="15"/>
          <w:szCs w:val="15"/>
          <w:highlight w:val="none"/>
          <w:lang w:val="en-US" w:eastAsia="zh-CN"/>
        </w:rPr>
        <w:t>132335197005052299</w:t>
      </w:r>
      <w:r>
        <w:rPr>
          <w:rFonts w:hint="eastAsia"/>
          <w:sz w:val="15"/>
          <w:szCs w:val="15"/>
        </w:rPr>
        <w:t xml:space="preserve">  </w:t>
      </w:r>
      <w:r>
        <w:rPr>
          <w:rFonts w:hint="eastAsia"/>
          <w:sz w:val="15"/>
          <w:szCs w:val="15"/>
          <w:lang w:val="en-US" w:eastAsia="zh-CN"/>
        </w:rPr>
        <w:t>冀A6842V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