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秦苏方</w:t>
      </w:r>
      <w:r>
        <w:rPr>
          <w:rFonts w:hint="eastAsia"/>
          <w:sz w:val="15"/>
          <w:szCs w:val="15"/>
          <w:highlight w:val="none"/>
        </w:rPr>
        <w:t>，</w:t>
      </w:r>
      <w:r>
        <w:rPr>
          <w:rFonts w:hint="eastAsia"/>
          <w:sz w:val="15"/>
          <w:szCs w:val="15"/>
          <w:highlight w:val="none"/>
          <w:lang w:val="en-US" w:eastAsia="zh-CN"/>
        </w:rPr>
        <w:t>132335197003051479</w:t>
      </w:r>
      <w:r>
        <w:rPr>
          <w:rFonts w:hint="eastAsia"/>
          <w:sz w:val="15"/>
          <w:szCs w:val="15"/>
        </w:rPr>
        <w:t xml:space="preserve">  </w:t>
      </w:r>
      <w:r>
        <w:rPr>
          <w:rFonts w:hint="eastAsia"/>
          <w:sz w:val="15"/>
          <w:szCs w:val="15"/>
          <w:lang w:val="en-US" w:eastAsia="zh-CN"/>
        </w:rPr>
        <w:t>冀A31963D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