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武增龙</w:t>
      </w:r>
      <w:r>
        <w:rPr>
          <w:rFonts w:hint="eastAsia"/>
          <w:sz w:val="15"/>
          <w:szCs w:val="15"/>
          <w:highlight w:val="none"/>
        </w:rPr>
        <w:t>，</w:t>
      </w:r>
      <w:r>
        <w:rPr>
          <w:rFonts w:hint="eastAsia"/>
          <w:sz w:val="15"/>
          <w:szCs w:val="15"/>
          <w:highlight w:val="none"/>
          <w:lang w:val="en-US" w:eastAsia="zh-CN"/>
        </w:rPr>
        <w:t>132335196904031315</w:t>
      </w:r>
      <w:r>
        <w:rPr>
          <w:rFonts w:hint="eastAsia"/>
          <w:sz w:val="15"/>
          <w:szCs w:val="15"/>
        </w:rPr>
        <w:t xml:space="preserve">  </w:t>
      </w:r>
      <w:r>
        <w:rPr>
          <w:rFonts w:hint="eastAsia"/>
          <w:sz w:val="15"/>
          <w:szCs w:val="15"/>
          <w:lang w:val="en-US" w:eastAsia="zh-CN"/>
        </w:rPr>
        <w:t>冀AX9851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