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张彦兵</w:t>
      </w:r>
      <w:r>
        <w:rPr>
          <w:rFonts w:hint="eastAsia"/>
          <w:sz w:val="15"/>
          <w:szCs w:val="15"/>
          <w:highlight w:val="none"/>
        </w:rPr>
        <w:t>，</w:t>
      </w:r>
      <w:r>
        <w:rPr>
          <w:rFonts w:hint="eastAsia"/>
          <w:sz w:val="15"/>
          <w:szCs w:val="15"/>
          <w:highlight w:val="none"/>
          <w:lang w:val="en-US" w:eastAsia="zh-CN"/>
        </w:rPr>
        <w:t>132335196711250271</w:t>
      </w:r>
      <w:r>
        <w:rPr>
          <w:rFonts w:hint="eastAsia"/>
          <w:sz w:val="15"/>
          <w:szCs w:val="15"/>
        </w:rPr>
        <w:t xml:space="preserve">  </w:t>
      </w:r>
      <w:r>
        <w:rPr>
          <w:rFonts w:hint="eastAsia"/>
          <w:sz w:val="15"/>
          <w:szCs w:val="15"/>
          <w:lang w:val="en-US" w:eastAsia="zh-CN"/>
        </w:rPr>
        <w:t>冀A03050D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