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霍志军</w:t>
      </w:r>
      <w:r>
        <w:rPr>
          <w:rFonts w:hint="eastAsia"/>
          <w:sz w:val="15"/>
          <w:szCs w:val="15"/>
          <w:highlight w:val="none"/>
        </w:rPr>
        <w:t>，</w:t>
      </w:r>
      <w:r>
        <w:rPr>
          <w:rFonts w:hint="eastAsia"/>
          <w:sz w:val="15"/>
          <w:szCs w:val="15"/>
          <w:highlight w:val="none"/>
          <w:lang w:val="en-US" w:eastAsia="zh-CN"/>
        </w:rPr>
        <w:t>132335196703070414</w:t>
      </w:r>
      <w:r>
        <w:rPr>
          <w:rFonts w:hint="eastAsia"/>
          <w:sz w:val="15"/>
          <w:szCs w:val="15"/>
        </w:rPr>
        <w:t xml:space="preserve">  </w:t>
      </w:r>
      <w:r>
        <w:rPr>
          <w:rFonts w:hint="eastAsia"/>
          <w:sz w:val="15"/>
          <w:szCs w:val="15"/>
          <w:lang w:val="en-US" w:eastAsia="zh-CN"/>
        </w:rPr>
        <w:t>冀A5968Y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