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李进军</w:t>
      </w:r>
      <w:r>
        <w:rPr>
          <w:rFonts w:hint="eastAsia"/>
          <w:sz w:val="15"/>
          <w:szCs w:val="15"/>
          <w:highlight w:val="none"/>
        </w:rPr>
        <w:t>，</w:t>
      </w:r>
      <w:r>
        <w:rPr>
          <w:rFonts w:hint="eastAsia"/>
          <w:sz w:val="15"/>
          <w:szCs w:val="15"/>
          <w:highlight w:val="none"/>
          <w:lang w:val="en-US" w:eastAsia="zh-CN"/>
        </w:rPr>
        <w:t>132335196411231474</w:t>
      </w:r>
      <w:r>
        <w:rPr>
          <w:rFonts w:hint="eastAsia"/>
          <w:sz w:val="15"/>
          <w:szCs w:val="15"/>
        </w:rPr>
        <w:t xml:space="preserve">  </w:t>
      </w:r>
      <w:r>
        <w:rPr>
          <w:rFonts w:hint="eastAsia"/>
          <w:sz w:val="15"/>
          <w:szCs w:val="15"/>
          <w:lang w:val="en-US" w:eastAsia="zh-CN"/>
        </w:rPr>
        <w:t>冀A714V8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