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丁红利</w:t>
      </w:r>
      <w:r>
        <w:rPr>
          <w:rFonts w:hint="eastAsia"/>
          <w:sz w:val="15"/>
          <w:szCs w:val="15"/>
          <w:highlight w:val="none"/>
        </w:rPr>
        <w:t>，</w:t>
      </w:r>
      <w:r>
        <w:rPr>
          <w:rFonts w:hint="eastAsia"/>
          <w:sz w:val="15"/>
          <w:szCs w:val="15"/>
          <w:highlight w:val="none"/>
          <w:lang w:val="en-US" w:eastAsia="zh-CN"/>
        </w:rPr>
        <w:t>132329197811260618</w:t>
      </w:r>
      <w:r>
        <w:rPr>
          <w:rFonts w:hint="eastAsia"/>
          <w:sz w:val="15"/>
          <w:szCs w:val="15"/>
        </w:rPr>
        <w:t xml:space="preserve">  </w:t>
      </w:r>
      <w:r>
        <w:rPr>
          <w:rFonts w:hint="eastAsia"/>
          <w:sz w:val="15"/>
          <w:szCs w:val="15"/>
          <w:lang w:val="en-US" w:eastAsia="zh-CN"/>
        </w:rPr>
        <w:t>冀AB5926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