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孙军刚</w:t>
      </w:r>
      <w:r>
        <w:rPr>
          <w:rFonts w:hint="eastAsia"/>
          <w:sz w:val="15"/>
          <w:szCs w:val="15"/>
          <w:highlight w:val="none"/>
        </w:rPr>
        <w:t>，</w:t>
      </w:r>
      <w:r>
        <w:rPr>
          <w:rFonts w:hint="eastAsia"/>
          <w:sz w:val="15"/>
          <w:szCs w:val="15"/>
          <w:highlight w:val="none"/>
          <w:lang w:val="en-US" w:eastAsia="zh-CN"/>
        </w:rPr>
        <w:t>132329197809103234</w:t>
      </w:r>
      <w:r>
        <w:rPr>
          <w:rFonts w:hint="eastAsia"/>
          <w:sz w:val="15"/>
          <w:szCs w:val="15"/>
        </w:rPr>
        <w:t xml:space="preserve">  </w:t>
      </w:r>
      <w:r>
        <w:rPr>
          <w:rFonts w:hint="eastAsia"/>
          <w:sz w:val="15"/>
          <w:szCs w:val="15"/>
          <w:lang w:val="en-US" w:eastAsia="zh-CN"/>
        </w:rPr>
        <w:t>冀AKX298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