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高建龙</w:t>
      </w:r>
      <w:r>
        <w:rPr>
          <w:rFonts w:hint="eastAsia"/>
          <w:sz w:val="15"/>
          <w:szCs w:val="15"/>
          <w:highlight w:val="none"/>
        </w:rPr>
        <w:t>，</w:t>
      </w:r>
      <w:r>
        <w:rPr>
          <w:rFonts w:hint="eastAsia"/>
          <w:sz w:val="15"/>
          <w:szCs w:val="15"/>
          <w:highlight w:val="none"/>
          <w:lang w:val="en-US" w:eastAsia="zh-CN"/>
        </w:rPr>
        <w:t>132329197805192436</w:t>
      </w:r>
      <w:r>
        <w:rPr>
          <w:rFonts w:hint="eastAsia"/>
          <w:sz w:val="15"/>
          <w:szCs w:val="15"/>
        </w:rPr>
        <w:t xml:space="preserve">  </w:t>
      </w:r>
      <w:r>
        <w:rPr>
          <w:rFonts w:hint="eastAsia"/>
          <w:sz w:val="15"/>
          <w:szCs w:val="15"/>
          <w:lang w:val="en-US" w:eastAsia="zh-CN"/>
        </w:rPr>
        <w:t>冀A9N068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