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闫锋</w:t>
      </w:r>
      <w:r>
        <w:rPr>
          <w:rFonts w:hint="eastAsia"/>
          <w:sz w:val="15"/>
          <w:szCs w:val="15"/>
          <w:highlight w:val="none"/>
        </w:rPr>
        <w:t>，</w:t>
      </w:r>
      <w:r>
        <w:rPr>
          <w:rFonts w:hint="eastAsia"/>
          <w:sz w:val="15"/>
          <w:szCs w:val="15"/>
          <w:highlight w:val="none"/>
          <w:lang w:val="en-US" w:eastAsia="zh-CN"/>
        </w:rPr>
        <w:t>132329197511213617</w:t>
      </w:r>
      <w:r>
        <w:rPr>
          <w:rFonts w:hint="eastAsia"/>
          <w:sz w:val="15"/>
          <w:szCs w:val="15"/>
        </w:rPr>
        <w:t xml:space="preserve">  </w:t>
      </w:r>
      <w:r>
        <w:rPr>
          <w:rFonts w:hint="eastAsia"/>
          <w:sz w:val="15"/>
          <w:szCs w:val="15"/>
          <w:lang w:val="en-US" w:eastAsia="zh-CN"/>
        </w:rPr>
        <w:t>冀A375ZR</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