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曲志波</w:t>
      </w:r>
      <w:r>
        <w:rPr>
          <w:rFonts w:hint="eastAsia"/>
          <w:sz w:val="15"/>
          <w:szCs w:val="15"/>
          <w:highlight w:val="none"/>
        </w:rPr>
        <w:t>，</w:t>
      </w:r>
      <w:r>
        <w:rPr>
          <w:rFonts w:hint="eastAsia"/>
          <w:sz w:val="15"/>
          <w:szCs w:val="15"/>
          <w:highlight w:val="none"/>
          <w:lang w:val="en-US" w:eastAsia="zh-CN"/>
        </w:rPr>
        <w:t>132329197203180614</w:t>
      </w:r>
      <w:r>
        <w:rPr>
          <w:rFonts w:hint="eastAsia"/>
          <w:sz w:val="15"/>
          <w:szCs w:val="15"/>
        </w:rPr>
        <w:t xml:space="preserve">  </w:t>
      </w:r>
      <w:r>
        <w:rPr>
          <w:rFonts w:hint="eastAsia"/>
          <w:sz w:val="15"/>
          <w:szCs w:val="15"/>
          <w:lang w:val="en-US" w:eastAsia="zh-CN"/>
        </w:rPr>
        <w:t>冀A798AK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