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方桂生</w:t>
      </w:r>
      <w:r>
        <w:rPr>
          <w:rFonts w:hint="eastAsia"/>
          <w:sz w:val="15"/>
          <w:szCs w:val="15"/>
          <w:highlight w:val="none"/>
        </w:rPr>
        <w:t>，</w:t>
      </w:r>
      <w:r>
        <w:rPr>
          <w:rFonts w:hint="eastAsia"/>
          <w:sz w:val="15"/>
          <w:szCs w:val="15"/>
          <w:highlight w:val="none"/>
          <w:lang w:val="en-US" w:eastAsia="zh-CN"/>
        </w:rPr>
        <w:t>132325197208305011</w:t>
      </w:r>
      <w:r>
        <w:rPr>
          <w:rFonts w:hint="eastAsia"/>
          <w:sz w:val="15"/>
          <w:szCs w:val="15"/>
        </w:rPr>
        <w:t xml:space="preserve">  </w:t>
      </w:r>
      <w:r>
        <w:rPr>
          <w:rFonts w:hint="eastAsia"/>
          <w:sz w:val="15"/>
          <w:szCs w:val="15"/>
          <w:lang w:val="en-US" w:eastAsia="zh-CN"/>
        </w:rPr>
        <w:t>冀A60590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