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徐军霞</w:t>
      </w:r>
      <w:r>
        <w:rPr>
          <w:rFonts w:hint="eastAsia"/>
          <w:sz w:val="15"/>
          <w:szCs w:val="15"/>
          <w:highlight w:val="none"/>
        </w:rPr>
        <w:t>，</w:t>
      </w:r>
      <w:r>
        <w:rPr>
          <w:rFonts w:hint="eastAsia"/>
          <w:sz w:val="15"/>
          <w:szCs w:val="15"/>
          <w:highlight w:val="none"/>
          <w:lang w:val="en-US" w:eastAsia="zh-CN"/>
        </w:rPr>
        <w:t>132324196908121415</w:t>
      </w:r>
      <w:r>
        <w:rPr>
          <w:rFonts w:hint="eastAsia"/>
          <w:sz w:val="15"/>
          <w:szCs w:val="15"/>
        </w:rPr>
        <w:t xml:space="preserve">  </w:t>
      </w:r>
      <w:r>
        <w:rPr>
          <w:rFonts w:hint="eastAsia"/>
          <w:sz w:val="15"/>
          <w:szCs w:val="15"/>
          <w:lang w:val="en-US" w:eastAsia="zh-CN"/>
        </w:rPr>
        <w:t>冀ATF048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