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裴志建</w:t>
      </w:r>
      <w:r>
        <w:rPr>
          <w:rFonts w:hint="eastAsia"/>
          <w:sz w:val="15"/>
          <w:szCs w:val="15"/>
          <w:highlight w:val="none"/>
        </w:rPr>
        <w:t>，</w:t>
      </w:r>
      <w:r>
        <w:rPr>
          <w:rFonts w:hint="eastAsia"/>
          <w:sz w:val="15"/>
          <w:szCs w:val="15"/>
          <w:highlight w:val="none"/>
          <w:lang w:val="en-US" w:eastAsia="zh-CN"/>
        </w:rPr>
        <w:t>132302198106304835</w:t>
      </w:r>
      <w:r>
        <w:rPr>
          <w:rFonts w:hint="eastAsia"/>
          <w:sz w:val="15"/>
          <w:szCs w:val="15"/>
        </w:rPr>
        <w:t xml:space="preserve">  </w:t>
      </w:r>
      <w:r>
        <w:rPr>
          <w:rFonts w:hint="eastAsia"/>
          <w:sz w:val="15"/>
          <w:szCs w:val="15"/>
          <w:lang w:val="en-US" w:eastAsia="zh-CN"/>
        </w:rPr>
        <w:t>冀AC9083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