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程振光</w:t>
      </w:r>
      <w:r>
        <w:rPr>
          <w:rFonts w:hint="eastAsia"/>
          <w:sz w:val="15"/>
          <w:szCs w:val="15"/>
          <w:highlight w:val="none"/>
        </w:rPr>
        <w:t>，</w:t>
      </w:r>
      <w:r>
        <w:rPr>
          <w:rFonts w:hint="eastAsia"/>
          <w:sz w:val="15"/>
          <w:szCs w:val="15"/>
          <w:highlight w:val="none"/>
          <w:lang w:val="en-US" w:eastAsia="zh-CN"/>
        </w:rPr>
        <w:t>131182198304075412</w:t>
      </w:r>
      <w:r>
        <w:rPr>
          <w:rFonts w:hint="eastAsia"/>
          <w:sz w:val="15"/>
          <w:szCs w:val="15"/>
        </w:rPr>
        <w:t xml:space="preserve">  </w:t>
      </w:r>
      <w:r>
        <w:rPr>
          <w:rFonts w:hint="eastAsia"/>
          <w:sz w:val="15"/>
          <w:szCs w:val="15"/>
          <w:lang w:val="en-US" w:eastAsia="zh-CN"/>
        </w:rPr>
        <w:t>冀AH4877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