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陈春燕</w:t>
      </w:r>
      <w:r>
        <w:rPr>
          <w:rFonts w:hint="eastAsia"/>
          <w:sz w:val="15"/>
          <w:szCs w:val="15"/>
          <w:highlight w:val="none"/>
        </w:rPr>
        <w:t>，</w:t>
      </w:r>
      <w:r>
        <w:rPr>
          <w:rFonts w:hint="eastAsia"/>
          <w:sz w:val="15"/>
          <w:szCs w:val="15"/>
          <w:highlight w:val="none"/>
          <w:lang w:val="en-US" w:eastAsia="zh-CN"/>
        </w:rPr>
        <w:t>131122198004172222</w:t>
      </w:r>
      <w:r>
        <w:rPr>
          <w:rFonts w:hint="eastAsia"/>
          <w:sz w:val="15"/>
          <w:szCs w:val="15"/>
        </w:rPr>
        <w:t xml:space="preserve">  </w:t>
      </w:r>
      <w:r>
        <w:rPr>
          <w:rFonts w:hint="eastAsia"/>
          <w:sz w:val="15"/>
          <w:szCs w:val="15"/>
          <w:lang w:val="en-US" w:eastAsia="zh-CN"/>
        </w:rPr>
        <w:t>冀TW9785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