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高春刚</w:t>
      </w:r>
      <w:r>
        <w:rPr>
          <w:rFonts w:hint="eastAsia"/>
          <w:sz w:val="15"/>
          <w:szCs w:val="15"/>
          <w:highlight w:val="none"/>
        </w:rPr>
        <w:t>，</w:t>
      </w:r>
      <w:r>
        <w:rPr>
          <w:rFonts w:hint="eastAsia"/>
          <w:sz w:val="15"/>
          <w:szCs w:val="15"/>
          <w:highlight w:val="none"/>
          <w:lang w:val="en-US" w:eastAsia="zh-CN"/>
        </w:rPr>
        <w:t>131122197807082218</w:t>
      </w:r>
      <w:r>
        <w:rPr>
          <w:rFonts w:hint="eastAsia"/>
          <w:sz w:val="15"/>
          <w:szCs w:val="15"/>
        </w:rPr>
        <w:t xml:space="preserve">  </w:t>
      </w:r>
      <w:r>
        <w:rPr>
          <w:rFonts w:hint="eastAsia"/>
          <w:sz w:val="15"/>
          <w:szCs w:val="15"/>
          <w:lang w:val="en-US" w:eastAsia="zh-CN"/>
        </w:rPr>
        <w:t>冀TW2205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