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李建忠</w:t>
      </w:r>
      <w:r>
        <w:rPr>
          <w:rFonts w:hint="eastAsia"/>
          <w:sz w:val="15"/>
          <w:szCs w:val="15"/>
          <w:highlight w:val="none"/>
        </w:rPr>
        <w:t>，</w:t>
      </w:r>
      <w:r>
        <w:rPr>
          <w:rFonts w:hint="eastAsia"/>
          <w:sz w:val="15"/>
          <w:szCs w:val="15"/>
          <w:highlight w:val="none"/>
          <w:lang w:val="en-US" w:eastAsia="zh-CN"/>
        </w:rPr>
        <w:t>131122197512180814</w:t>
      </w:r>
      <w:r>
        <w:rPr>
          <w:rFonts w:hint="eastAsia"/>
          <w:sz w:val="15"/>
          <w:szCs w:val="15"/>
        </w:rPr>
        <w:t xml:space="preserve">  </w:t>
      </w:r>
      <w:r>
        <w:rPr>
          <w:rFonts w:hint="eastAsia"/>
          <w:sz w:val="15"/>
          <w:szCs w:val="15"/>
          <w:lang w:val="en-US" w:eastAsia="zh-CN"/>
        </w:rPr>
        <w:t>冀TC1900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