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王志永</w:t>
      </w:r>
      <w:r>
        <w:rPr>
          <w:rFonts w:hint="eastAsia"/>
          <w:sz w:val="15"/>
          <w:szCs w:val="15"/>
          <w:highlight w:val="none"/>
        </w:rPr>
        <w:t>，</w:t>
      </w:r>
      <w:r>
        <w:rPr>
          <w:rFonts w:hint="eastAsia"/>
          <w:sz w:val="15"/>
          <w:szCs w:val="15"/>
          <w:highlight w:val="none"/>
          <w:lang w:val="en-US" w:eastAsia="zh-CN"/>
        </w:rPr>
        <w:t>131022198803085437</w:t>
      </w:r>
      <w:r>
        <w:rPr>
          <w:rFonts w:hint="eastAsia"/>
          <w:sz w:val="15"/>
          <w:szCs w:val="15"/>
        </w:rPr>
        <w:t xml:space="preserve">  </w:t>
      </w:r>
      <w:r>
        <w:rPr>
          <w:rFonts w:hint="eastAsia"/>
          <w:sz w:val="15"/>
          <w:szCs w:val="15"/>
          <w:lang w:val="en-US" w:eastAsia="zh-CN"/>
        </w:rPr>
        <w:t>冀A45056D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