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李后刚</w:t>
      </w:r>
      <w:r>
        <w:rPr>
          <w:rFonts w:hint="eastAsia"/>
          <w:sz w:val="15"/>
          <w:szCs w:val="15"/>
          <w:highlight w:val="none"/>
        </w:rPr>
        <w:t>，</w:t>
      </w:r>
      <w:r>
        <w:rPr>
          <w:rFonts w:hint="eastAsia"/>
          <w:sz w:val="15"/>
          <w:szCs w:val="15"/>
          <w:highlight w:val="none"/>
          <w:lang w:val="en-US" w:eastAsia="zh-CN"/>
        </w:rPr>
        <w:t>130921197304051213</w:t>
      </w:r>
      <w:r>
        <w:rPr>
          <w:rFonts w:hint="eastAsia"/>
          <w:sz w:val="15"/>
          <w:szCs w:val="15"/>
        </w:rPr>
        <w:t xml:space="preserve">  </w:t>
      </w:r>
      <w:r>
        <w:rPr>
          <w:rFonts w:hint="eastAsia"/>
          <w:sz w:val="15"/>
          <w:szCs w:val="15"/>
          <w:lang w:val="en-US" w:eastAsia="zh-CN"/>
        </w:rPr>
        <w:t>冀J21858D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