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白海龙</w:t>
      </w:r>
      <w:r>
        <w:rPr>
          <w:rFonts w:hint="eastAsia"/>
          <w:sz w:val="15"/>
          <w:szCs w:val="15"/>
          <w:highlight w:val="none"/>
        </w:rPr>
        <w:t>，</w:t>
      </w:r>
      <w:r>
        <w:rPr>
          <w:rFonts w:hint="eastAsia"/>
          <w:sz w:val="15"/>
          <w:szCs w:val="15"/>
          <w:highlight w:val="none"/>
          <w:lang w:val="en-US" w:eastAsia="zh-CN"/>
        </w:rPr>
        <w:t>130802197808070413</w:t>
      </w:r>
      <w:r>
        <w:rPr>
          <w:rFonts w:hint="eastAsia"/>
          <w:sz w:val="15"/>
          <w:szCs w:val="15"/>
        </w:rPr>
        <w:t xml:space="preserve">  </w:t>
      </w:r>
      <w:r>
        <w:rPr>
          <w:rFonts w:hint="eastAsia"/>
          <w:sz w:val="15"/>
          <w:szCs w:val="15"/>
          <w:lang w:val="en-US" w:eastAsia="zh-CN"/>
        </w:rPr>
        <w:t>冀B5507Z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