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刘志强</w:t>
      </w:r>
      <w:r>
        <w:rPr>
          <w:rFonts w:hint="eastAsia"/>
          <w:sz w:val="15"/>
          <w:szCs w:val="15"/>
          <w:highlight w:val="none"/>
        </w:rPr>
        <w:t>，</w:t>
      </w:r>
      <w:r>
        <w:rPr>
          <w:rFonts w:hint="eastAsia"/>
          <w:sz w:val="15"/>
          <w:szCs w:val="15"/>
          <w:highlight w:val="none"/>
          <w:lang w:val="en-US" w:eastAsia="zh-CN"/>
        </w:rPr>
        <w:t>130634198310112537</w:t>
      </w:r>
      <w:r>
        <w:rPr>
          <w:rFonts w:hint="eastAsia"/>
          <w:sz w:val="15"/>
          <w:szCs w:val="15"/>
        </w:rPr>
        <w:t xml:space="preserve">  </w:t>
      </w:r>
      <w:r>
        <w:rPr>
          <w:rFonts w:hint="eastAsia"/>
          <w:sz w:val="15"/>
          <w:szCs w:val="15"/>
          <w:lang w:val="en-US" w:eastAsia="zh-CN"/>
        </w:rPr>
        <w:t>冀A72162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