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刘章杰</w:t>
      </w:r>
      <w:r>
        <w:rPr>
          <w:rFonts w:hint="eastAsia"/>
          <w:sz w:val="15"/>
          <w:szCs w:val="15"/>
          <w:highlight w:val="none"/>
        </w:rPr>
        <w:t>，</w:t>
      </w:r>
      <w:r>
        <w:rPr>
          <w:rFonts w:hint="eastAsia"/>
          <w:sz w:val="15"/>
          <w:szCs w:val="15"/>
          <w:highlight w:val="none"/>
          <w:lang w:val="en-US" w:eastAsia="zh-CN"/>
        </w:rPr>
        <w:t>130633198301044839</w:t>
      </w:r>
      <w:r>
        <w:rPr>
          <w:rFonts w:hint="eastAsia"/>
          <w:sz w:val="15"/>
          <w:szCs w:val="15"/>
        </w:rPr>
        <w:t xml:space="preserve">  </w:t>
      </w:r>
      <w:r>
        <w:rPr>
          <w:rFonts w:hint="eastAsia"/>
          <w:sz w:val="15"/>
          <w:szCs w:val="15"/>
          <w:lang w:val="en-US" w:eastAsia="zh-CN"/>
        </w:rPr>
        <w:t>沪A80570D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