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苑慧杰</w:t>
      </w:r>
      <w:r>
        <w:rPr>
          <w:rFonts w:hint="eastAsia"/>
          <w:sz w:val="15"/>
          <w:szCs w:val="15"/>
          <w:highlight w:val="none"/>
        </w:rPr>
        <w:t>，</w:t>
      </w:r>
      <w:r>
        <w:rPr>
          <w:rFonts w:hint="eastAsia"/>
          <w:sz w:val="15"/>
          <w:szCs w:val="15"/>
          <w:highlight w:val="none"/>
          <w:lang w:val="en-US" w:eastAsia="zh-CN"/>
        </w:rPr>
        <w:t>130604198107102423</w:t>
      </w:r>
      <w:r>
        <w:rPr>
          <w:rFonts w:hint="eastAsia"/>
          <w:sz w:val="15"/>
          <w:szCs w:val="15"/>
        </w:rPr>
        <w:t xml:space="preserve">  </w:t>
      </w:r>
      <w:r>
        <w:rPr>
          <w:rFonts w:hint="eastAsia"/>
          <w:sz w:val="15"/>
          <w:szCs w:val="15"/>
          <w:lang w:val="en-US" w:eastAsia="zh-CN"/>
        </w:rPr>
        <w:t>冀FY2244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