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张东灿</w:t>
      </w:r>
      <w:r>
        <w:rPr>
          <w:rFonts w:hint="eastAsia"/>
          <w:sz w:val="15"/>
          <w:szCs w:val="15"/>
          <w:highlight w:val="none"/>
        </w:rPr>
        <w:t>，</w:t>
      </w:r>
      <w:r>
        <w:rPr>
          <w:rFonts w:hint="eastAsia"/>
          <w:sz w:val="15"/>
          <w:szCs w:val="15"/>
          <w:highlight w:val="none"/>
          <w:lang w:val="en-US" w:eastAsia="zh-CN"/>
        </w:rPr>
        <w:t>13053119841102171X</w:t>
      </w:r>
      <w:r>
        <w:rPr>
          <w:rFonts w:hint="eastAsia"/>
          <w:sz w:val="15"/>
          <w:szCs w:val="15"/>
        </w:rPr>
        <w:t xml:space="preserve">  </w:t>
      </w:r>
      <w:r>
        <w:rPr>
          <w:rFonts w:hint="eastAsia"/>
          <w:sz w:val="15"/>
          <w:szCs w:val="15"/>
          <w:lang w:val="en-US" w:eastAsia="zh-CN"/>
        </w:rPr>
        <w:t>冀A4U776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