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胡旭光</w:t>
      </w:r>
      <w:r>
        <w:rPr>
          <w:rFonts w:hint="eastAsia"/>
          <w:sz w:val="15"/>
          <w:szCs w:val="15"/>
          <w:highlight w:val="none"/>
        </w:rPr>
        <w:t>，</w:t>
      </w:r>
      <w:r>
        <w:rPr>
          <w:rFonts w:hint="eastAsia"/>
          <w:sz w:val="15"/>
          <w:szCs w:val="15"/>
          <w:highlight w:val="none"/>
          <w:lang w:val="en-US" w:eastAsia="zh-CN"/>
        </w:rPr>
        <w:t>130527198501100556</w:t>
      </w:r>
      <w:r>
        <w:rPr>
          <w:rFonts w:hint="eastAsia"/>
          <w:sz w:val="15"/>
          <w:szCs w:val="15"/>
        </w:rPr>
        <w:t xml:space="preserve">  </w:t>
      </w:r>
      <w:r>
        <w:rPr>
          <w:rFonts w:hint="eastAsia"/>
          <w:sz w:val="15"/>
          <w:szCs w:val="15"/>
          <w:lang w:val="en-US" w:eastAsia="zh-CN"/>
        </w:rPr>
        <w:t>沪A87058D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