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要俊刚</w:t>
      </w:r>
      <w:r>
        <w:rPr>
          <w:rFonts w:hint="eastAsia"/>
          <w:sz w:val="15"/>
          <w:szCs w:val="15"/>
          <w:highlight w:val="none"/>
        </w:rPr>
        <w:t>，</w:t>
      </w:r>
      <w:r>
        <w:rPr>
          <w:rFonts w:hint="eastAsia"/>
          <w:sz w:val="15"/>
          <w:szCs w:val="15"/>
          <w:highlight w:val="none"/>
          <w:lang w:val="en-US" w:eastAsia="zh-CN"/>
        </w:rPr>
        <w:t>130527198201190510</w:t>
      </w:r>
      <w:r>
        <w:rPr>
          <w:rFonts w:hint="eastAsia"/>
          <w:sz w:val="15"/>
          <w:szCs w:val="15"/>
        </w:rPr>
        <w:t xml:space="preserve">  </w:t>
      </w:r>
      <w:r>
        <w:rPr>
          <w:rFonts w:hint="eastAsia"/>
          <w:sz w:val="15"/>
          <w:szCs w:val="15"/>
          <w:lang w:val="en-US" w:eastAsia="zh-CN"/>
        </w:rPr>
        <w:t>沪A72118D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