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张燕朋</w:t>
      </w:r>
      <w:r>
        <w:rPr>
          <w:rFonts w:hint="eastAsia"/>
          <w:sz w:val="15"/>
          <w:szCs w:val="15"/>
          <w:highlight w:val="none"/>
        </w:rPr>
        <w:t>，</w:t>
      </w:r>
      <w:r>
        <w:rPr>
          <w:rFonts w:hint="eastAsia"/>
          <w:sz w:val="15"/>
          <w:szCs w:val="15"/>
          <w:highlight w:val="none"/>
          <w:lang w:val="en-US" w:eastAsia="zh-CN"/>
        </w:rPr>
        <w:t>130522199009282215</w:t>
      </w:r>
      <w:r>
        <w:rPr>
          <w:rFonts w:hint="eastAsia"/>
          <w:sz w:val="15"/>
          <w:szCs w:val="15"/>
        </w:rPr>
        <w:t xml:space="preserve">  </w:t>
      </w:r>
      <w:r>
        <w:rPr>
          <w:rFonts w:hint="eastAsia"/>
          <w:sz w:val="15"/>
          <w:szCs w:val="15"/>
          <w:lang w:val="en-US" w:eastAsia="zh-CN"/>
        </w:rPr>
        <w:t>冀A068WF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