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尹新峰</w:t>
      </w:r>
      <w:r>
        <w:rPr>
          <w:rFonts w:hint="eastAsia"/>
          <w:sz w:val="15"/>
          <w:szCs w:val="15"/>
          <w:highlight w:val="none"/>
        </w:rPr>
        <w:t>，</w:t>
      </w:r>
      <w:r>
        <w:rPr>
          <w:rFonts w:hint="eastAsia"/>
          <w:sz w:val="15"/>
          <w:szCs w:val="15"/>
          <w:highlight w:val="none"/>
          <w:lang w:val="en-US" w:eastAsia="zh-CN"/>
        </w:rPr>
        <w:t>130434196609054458</w:t>
      </w:r>
      <w:r>
        <w:rPr>
          <w:rFonts w:hint="eastAsia"/>
          <w:sz w:val="15"/>
          <w:szCs w:val="15"/>
        </w:rPr>
        <w:t xml:space="preserve">  </w:t>
      </w:r>
      <w:r>
        <w:rPr>
          <w:rFonts w:hint="eastAsia"/>
          <w:sz w:val="15"/>
          <w:szCs w:val="15"/>
          <w:lang w:val="en-US" w:eastAsia="zh-CN"/>
        </w:rPr>
        <w:t>冀D11122D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