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冀现光</w:t>
      </w:r>
      <w:r>
        <w:rPr>
          <w:rFonts w:hint="eastAsia"/>
          <w:sz w:val="15"/>
          <w:szCs w:val="15"/>
          <w:highlight w:val="none"/>
        </w:rPr>
        <w:t>，</w:t>
      </w:r>
      <w:r>
        <w:rPr>
          <w:rFonts w:hint="eastAsia"/>
          <w:sz w:val="15"/>
          <w:szCs w:val="15"/>
          <w:highlight w:val="none"/>
          <w:lang w:val="en-US" w:eastAsia="zh-CN"/>
        </w:rPr>
        <w:t>130421198401140370</w:t>
      </w:r>
      <w:r>
        <w:rPr>
          <w:rFonts w:hint="eastAsia"/>
          <w:sz w:val="15"/>
          <w:szCs w:val="15"/>
        </w:rPr>
        <w:t xml:space="preserve">  </w:t>
      </w:r>
      <w:r>
        <w:rPr>
          <w:rFonts w:hint="eastAsia"/>
          <w:sz w:val="15"/>
          <w:szCs w:val="15"/>
          <w:lang w:val="en-US" w:eastAsia="zh-CN"/>
        </w:rPr>
        <w:t>冀J26018D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