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杜娟</w:t>
      </w:r>
      <w:r>
        <w:rPr>
          <w:rFonts w:hint="eastAsia"/>
          <w:sz w:val="15"/>
          <w:szCs w:val="15"/>
          <w:highlight w:val="none"/>
        </w:rPr>
        <w:t>，</w:t>
      </w:r>
      <w:r>
        <w:rPr>
          <w:rFonts w:hint="eastAsia"/>
          <w:sz w:val="15"/>
          <w:szCs w:val="15"/>
          <w:highlight w:val="none"/>
          <w:lang w:val="en-US" w:eastAsia="zh-CN"/>
        </w:rPr>
        <w:t>130185199409082523</w:t>
      </w:r>
      <w:r>
        <w:rPr>
          <w:rFonts w:hint="eastAsia"/>
          <w:sz w:val="15"/>
          <w:szCs w:val="15"/>
        </w:rPr>
        <w:t xml:space="preserve">  </w:t>
      </w:r>
      <w:r>
        <w:rPr>
          <w:rFonts w:hint="eastAsia"/>
          <w:sz w:val="15"/>
          <w:szCs w:val="15"/>
          <w:lang w:val="en-US" w:eastAsia="zh-CN"/>
        </w:rPr>
        <w:t>冀A40460D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