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胡晓红</w:t>
      </w:r>
      <w:r>
        <w:rPr>
          <w:rFonts w:hint="eastAsia"/>
          <w:sz w:val="15"/>
          <w:szCs w:val="15"/>
          <w:highlight w:val="none"/>
        </w:rPr>
        <w:t>，</w:t>
      </w:r>
      <w:r>
        <w:rPr>
          <w:rFonts w:hint="eastAsia"/>
          <w:sz w:val="15"/>
          <w:szCs w:val="15"/>
          <w:highlight w:val="none"/>
          <w:lang w:val="en-US" w:eastAsia="zh-CN"/>
        </w:rPr>
        <w:t>130185199201030548</w:t>
      </w:r>
      <w:r>
        <w:rPr>
          <w:rFonts w:hint="eastAsia"/>
          <w:sz w:val="15"/>
          <w:szCs w:val="15"/>
        </w:rPr>
        <w:t xml:space="preserve">  </w:t>
      </w:r>
      <w:r>
        <w:rPr>
          <w:rFonts w:hint="eastAsia"/>
          <w:sz w:val="15"/>
          <w:szCs w:val="15"/>
          <w:lang w:val="en-US" w:eastAsia="zh-CN"/>
        </w:rPr>
        <w:t>冀B36635D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