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康文军</w:t>
      </w:r>
      <w:r>
        <w:rPr>
          <w:rFonts w:hint="eastAsia"/>
          <w:sz w:val="15"/>
          <w:szCs w:val="15"/>
          <w:highlight w:val="none"/>
        </w:rPr>
        <w:t>，</w:t>
      </w:r>
      <w:r>
        <w:rPr>
          <w:rFonts w:hint="eastAsia"/>
          <w:sz w:val="15"/>
          <w:szCs w:val="15"/>
          <w:highlight w:val="none"/>
          <w:lang w:val="en-US" w:eastAsia="zh-CN"/>
        </w:rPr>
        <w:t>130185199001122237</w:t>
      </w:r>
      <w:r>
        <w:rPr>
          <w:rFonts w:hint="eastAsia"/>
          <w:sz w:val="15"/>
          <w:szCs w:val="15"/>
        </w:rPr>
        <w:t xml:space="preserve">  </w:t>
      </w:r>
      <w:r>
        <w:rPr>
          <w:rFonts w:hint="eastAsia"/>
          <w:sz w:val="15"/>
          <w:szCs w:val="15"/>
          <w:lang w:val="en-US" w:eastAsia="zh-CN"/>
        </w:rPr>
        <w:t>冀AKR243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