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杨润亮</w:t>
      </w:r>
      <w:r>
        <w:rPr>
          <w:rFonts w:hint="eastAsia"/>
          <w:sz w:val="15"/>
          <w:szCs w:val="15"/>
          <w:highlight w:val="none"/>
        </w:rPr>
        <w:t>，</w:t>
      </w:r>
      <w:r>
        <w:rPr>
          <w:rFonts w:hint="eastAsia"/>
          <w:sz w:val="15"/>
          <w:szCs w:val="15"/>
          <w:highlight w:val="none"/>
          <w:lang w:val="en-US" w:eastAsia="zh-CN"/>
        </w:rPr>
        <w:t>130185198909242533</w:t>
      </w:r>
      <w:r>
        <w:rPr>
          <w:rFonts w:hint="eastAsia"/>
          <w:sz w:val="15"/>
          <w:szCs w:val="15"/>
        </w:rPr>
        <w:t xml:space="preserve">  </w:t>
      </w:r>
      <w:r>
        <w:rPr>
          <w:rFonts w:hint="eastAsia"/>
          <w:sz w:val="15"/>
          <w:szCs w:val="15"/>
          <w:lang w:val="en-US" w:eastAsia="zh-CN"/>
        </w:rPr>
        <w:t>冀A38840D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