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康达</w:t>
      </w:r>
      <w:r>
        <w:rPr>
          <w:rFonts w:hint="eastAsia"/>
          <w:sz w:val="15"/>
          <w:szCs w:val="15"/>
          <w:highlight w:val="none"/>
        </w:rPr>
        <w:t>，</w:t>
      </w:r>
      <w:r>
        <w:rPr>
          <w:rFonts w:hint="eastAsia"/>
          <w:sz w:val="15"/>
          <w:szCs w:val="15"/>
          <w:highlight w:val="none"/>
          <w:lang w:val="en-US" w:eastAsia="zh-CN"/>
        </w:rPr>
        <w:t>130185198902262232</w:t>
      </w:r>
      <w:r>
        <w:rPr>
          <w:rFonts w:hint="eastAsia"/>
          <w:sz w:val="15"/>
          <w:szCs w:val="15"/>
        </w:rPr>
        <w:t xml:space="preserve">  </w:t>
      </w:r>
      <w:r>
        <w:rPr>
          <w:rFonts w:hint="eastAsia"/>
          <w:sz w:val="15"/>
          <w:szCs w:val="15"/>
          <w:lang w:val="en-US" w:eastAsia="zh-CN"/>
        </w:rPr>
        <w:t>冀A44407D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