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侯晓娜</w:t>
      </w:r>
      <w:r>
        <w:rPr>
          <w:rFonts w:hint="eastAsia"/>
          <w:sz w:val="15"/>
          <w:szCs w:val="15"/>
          <w:highlight w:val="none"/>
        </w:rPr>
        <w:t>，</w:t>
      </w:r>
      <w:r>
        <w:rPr>
          <w:rFonts w:hint="eastAsia"/>
          <w:sz w:val="15"/>
          <w:szCs w:val="15"/>
          <w:highlight w:val="none"/>
          <w:lang w:val="en-US" w:eastAsia="zh-CN"/>
        </w:rPr>
        <w:t>130185198805174046</w:t>
      </w:r>
      <w:r>
        <w:rPr>
          <w:rFonts w:hint="eastAsia"/>
          <w:sz w:val="15"/>
          <w:szCs w:val="15"/>
        </w:rPr>
        <w:t xml:space="preserve">  </w:t>
      </w:r>
      <w:r>
        <w:rPr>
          <w:rFonts w:hint="eastAsia"/>
          <w:sz w:val="15"/>
          <w:szCs w:val="15"/>
          <w:lang w:val="en-US" w:eastAsia="zh-CN"/>
        </w:rPr>
        <w:t>沪A98950D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