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李晓日</w:t>
      </w:r>
      <w:r>
        <w:rPr>
          <w:rFonts w:hint="eastAsia"/>
          <w:sz w:val="15"/>
          <w:szCs w:val="15"/>
          <w:highlight w:val="none"/>
        </w:rPr>
        <w:t>，</w:t>
      </w:r>
      <w:r>
        <w:rPr>
          <w:rFonts w:hint="eastAsia"/>
          <w:sz w:val="15"/>
          <w:szCs w:val="15"/>
          <w:highlight w:val="none"/>
          <w:lang w:val="en-US" w:eastAsia="zh-CN"/>
        </w:rPr>
        <w:t>130185198802070516</w:t>
      </w:r>
      <w:r>
        <w:rPr>
          <w:rFonts w:hint="eastAsia"/>
          <w:sz w:val="15"/>
          <w:szCs w:val="15"/>
        </w:rPr>
        <w:t xml:space="preserve">  </w:t>
      </w:r>
      <w:r>
        <w:rPr>
          <w:rFonts w:hint="eastAsia"/>
          <w:sz w:val="15"/>
          <w:szCs w:val="15"/>
          <w:lang w:val="en-US" w:eastAsia="zh-CN"/>
        </w:rPr>
        <w:t>冀A234AQ</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