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康红娟</w:t>
      </w:r>
      <w:r>
        <w:rPr>
          <w:rFonts w:hint="eastAsia"/>
          <w:sz w:val="15"/>
          <w:szCs w:val="15"/>
          <w:highlight w:val="none"/>
        </w:rPr>
        <w:t>，</w:t>
      </w:r>
      <w:r>
        <w:rPr>
          <w:rFonts w:hint="eastAsia"/>
          <w:sz w:val="15"/>
          <w:szCs w:val="15"/>
          <w:highlight w:val="none"/>
          <w:lang w:val="en-US" w:eastAsia="zh-CN"/>
        </w:rPr>
        <w:t>130185198708222229</w:t>
      </w:r>
      <w:r>
        <w:rPr>
          <w:rFonts w:hint="eastAsia"/>
          <w:sz w:val="15"/>
          <w:szCs w:val="15"/>
        </w:rPr>
        <w:t xml:space="preserve">  </w:t>
      </w:r>
      <w:r>
        <w:rPr>
          <w:rFonts w:hint="eastAsia"/>
          <w:sz w:val="15"/>
          <w:szCs w:val="15"/>
          <w:lang w:val="en-US" w:eastAsia="zh-CN"/>
        </w:rPr>
        <w:t>冀A44069D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