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刘雷</w:t>
      </w:r>
      <w:r>
        <w:rPr>
          <w:rFonts w:hint="eastAsia"/>
          <w:sz w:val="15"/>
          <w:szCs w:val="15"/>
          <w:highlight w:val="none"/>
        </w:rPr>
        <w:t>，</w:t>
      </w:r>
      <w:r>
        <w:rPr>
          <w:rFonts w:hint="eastAsia"/>
          <w:sz w:val="15"/>
          <w:szCs w:val="15"/>
          <w:highlight w:val="none"/>
          <w:lang w:val="en-US" w:eastAsia="zh-CN"/>
        </w:rPr>
        <w:t>130185198509042516</w:t>
      </w:r>
      <w:r>
        <w:rPr>
          <w:rFonts w:hint="eastAsia"/>
          <w:sz w:val="15"/>
          <w:szCs w:val="15"/>
        </w:rPr>
        <w:t xml:space="preserve">  </w:t>
      </w:r>
      <w:r>
        <w:rPr>
          <w:rFonts w:hint="eastAsia"/>
          <w:sz w:val="15"/>
          <w:szCs w:val="15"/>
          <w:lang w:val="en-US" w:eastAsia="zh-CN"/>
        </w:rPr>
        <w:t>冀A35589D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