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李建勇</w:t>
      </w:r>
      <w:r>
        <w:rPr>
          <w:rFonts w:hint="eastAsia"/>
          <w:sz w:val="15"/>
          <w:szCs w:val="15"/>
          <w:highlight w:val="none"/>
        </w:rPr>
        <w:t>，</w:t>
      </w:r>
      <w:r>
        <w:rPr>
          <w:rFonts w:hint="eastAsia"/>
          <w:sz w:val="15"/>
          <w:szCs w:val="15"/>
          <w:highlight w:val="none"/>
          <w:lang w:val="en-US" w:eastAsia="zh-CN"/>
        </w:rPr>
        <w:t>130185198308152217</w:t>
      </w:r>
      <w:r>
        <w:rPr>
          <w:rFonts w:hint="eastAsia"/>
          <w:sz w:val="15"/>
          <w:szCs w:val="15"/>
        </w:rPr>
        <w:t xml:space="preserve">  </w:t>
      </w:r>
      <w:r>
        <w:rPr>
          <w:rFonts w:hint="eastAsia"/>
          <w:sz w:val="15"/>
          <w:szCs w:val="15"/>
          <w:lang w:val="en-US" w:eastAsia="zh-CN"/>
        </w:rPr>
        <w:t>冀A530K4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