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刘浩</w:t>
      </w:r>
      <w:r>
        <w:rPr>
          <w:rFonts w:hint="eastAsia"/>
          <w:sz w:val="15"/>
          <w:szCs w:val="15"/>
          <w:highlight w:val="none"/>
        </w:rPr>
        <w:t>，</w:t>
      </w:r>
      <w:r>
        <w:rPr>
          <w:rFonts w:hint="eastAsia"/>
          <w:sz w:val="15"/>
          <w:szCs w:val="15"/>
          <w:highlight w:val="none"/>
          <w:lang w:val="en-US" w:eastAsia="zh-CN"/>
        </w:rPr>
        <w:t>130184199809171510</w:t>
      </w:r>
      <w:r>
        <w:rPr>
          <w:rFonts w:hint="eastAsia"/>
          <w:sz w:val="15"/>
          <w:szCs w:val="15"/>
        </w:rPr>
        <w:t xml:space="preserve">  </w:t>
      </w:r>
      <w:r>
        <w:rPr>
          <w:rFonts w:hint="eastAsia"/>
          <w:sz w:val="15"/>
          <w:szCs w:val="15"/>
          <w:lang w:val="en-US" w:eastAsia="zh-CN"/>
        </w:rPr>
        <w:t>冀A37165D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