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安旭明</w:t>
      </w:r>
      <w:r>
        <w:rPr>
          <w:rFonts w:hint="eastAsia"/>
          <w:sz w:val="15"/>
          <w:szCs w:val="15"/>
          <w:highlight w:val="none"/>
        </w:rPr>
        <w:t>，</w:t>
      </w:r>
      <w:r>
        <w:rPr>
          <w:rFonts w:hint="eastAsia"/>
          <w:sz w:val="15"/>
          <w:szCs w:val="15"/>
          <w:highlight w:val="none"/>
          <w:lang w:val="en-US" w:eastAsia="zh-CN"/>
        </w:rPr>
        <w:t>130184198810054536</w:t>
      </w:r>
      <w:r>
        <w:rPr>
          <w:rFonts w:hint="eastAsia"/>
          <w:sz w:val="15"/>
          <w:szCs w:val="15"/>
        </w:rPr>
        <w:t xml:space="preserve">  </w:t>
      </w:r>
      <w:r>
        <w:rPr>
          <w:rFonts w:hint="eastAsia"/>
          <w:sz w:val="15"/>
          <w:szCs w:val="15"/>
          <w:lang w:val="en-US" w:eastAsia="zh-CN"/>
        </w:rPr>
        <w:t>冀A959WQ</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